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7C" w:rsidRPr="0009300C" w:rsidRDefault="00A95A7C" w:rsidP="00A95A7C">
      <w:pPr>
        <w:jc w:val="center"/>
        <w:rPr>
          <w:sz w:val="28"/>
          <w:szCs w:val="28"/>
        </w:rPr>
      </w:pPr>
      <w:r w:rsidRPr="0009300C">
        <w:rPr>
          <w:rFonts w:ascii="Arial" w:hAnsi="Arial" w:cs="Arial"/>
          <w:noProof/>
          <w:sz w:val="20"/>
        </w:rPr>
        <w:t xml:space="preserve"> </w:t>
      </w:r>
      <w:r w:rsidR="000A502E">
        <w:rPr>
          <w:rFonts w:ascii="Arial" w:eastAsia="Times New Roman" w:hAnsi="Arial" w:cs="Arial"/>
          <w:noProof/>
          <w:color w:val="333333"/>
          <w:sz w:val="19"/>
          <w:szCs w:val="19"/>
        </w:rPr>
        <w:drawing>
          <wp:inline distT="0" distB="0" distL="0" distR="0">
            <wp:extent cx="3192780" cy="1280160"/>
            <wp:effectExtent l="0" t="0" r="7620" b="0"/>
            <wp:docPr id="1" name="Picture 1" descr="Co Sponsors - Bentley University &amp; I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 Sponsors - Bentley University &amp; IB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300C">
        <w:rPr>
          <w:rFonts w:ascii="Arial" w:hAnsi="Arial" w:cs="Arial"/>
          <w:noProof/>
          <w:sz w:val="20"/>
        </w:rPr>
        <w:t xml:space="preserve">  </w:t>
      </w:r>
      <w:r w:rsidR="000A502E">
        <w:rPr>
          <w:rFonts w:ascii="Arial" w:hAnsi="Arial" w:cs="Arial"/>
          <w:noProof/>
          <w:sz w:val="20"/>
        </w:rPr>
        <w:t xml:space="preserve"> </w:t>
      </w:r>
      <w:r w:rsidRPr="0009300C">
        <w:rPr>
          <w:rFonts w:ascii="Arial" w:hAnsi="Arial" w:cs="Arial"/>
          <w:noProof/>
          <w:sz w:val="20"/>
        </w:rPr>
        <w:t xml:space="preserve">           </w:t>
      </w:r>
    </w:p>
    <w:p w:rsidR="00A95A7C" w:rsidRPr="00B67A2E" w:rsidRDefault="00A95A7C" w:rsidP="00A95A7C">
      <w:pPr>
        <w:jc w:val="center"/>
        <w:rPr>
          <w:rFonts w:asciiTheme="majorHAnsi" w:hAnsiTheme="majorHAnsi" w:cs="Tahoma"/>
          <w:b/>
        </w:rPr>
      </w:pPr>
    </w:p>
    <w:p w:rsidR="003157A4" w:rsidRDefault="008C5CD6" w:rsidP="008C5CD6">
      <w:pPr>
        <w:jc w:val="center"/>
        <w:rPr>
          <w:rFonts w:asciiTheme="majorHAnsi" w:hAnsiTheme="majorHAnsi" w:cs="Tahoma"/>
          <w:b/>
          <w:sz w:val="28"/>
          <w:szCs w:val="28"/>
        </w:rPr>
      </w:pPr>
      <w:r w:rsidRPr="00B67A2E">
        <w:rPr>
          <w:rFonts w:asciiTheme="majorHAnsi" w:hAnsiTheme="majorHAnsi" w:cs="Tahoma"/>
          <w:b/>
          <w:sz w:val="28"/>
          <w:szCs w:val="28"/>
        </w:rPr>
        <w:t>The 201</w:t>
      </w:r>
      <w:r w:rsidR="000A502E">
        <w:rPr>
          <w:rFonts w:asciiTheme="majorHAnsi" w:hAnsiTheme="majorHAnsi" w:cs="Tahoma"/>
          <w:b/>
          <w:sz w:val="28"/>
          <w:szCs w:val="28"/>
        </w:rPr>
        <w:t>2</w:t>
      </w:r>
      <w:r w:rsidRPr="00B67A2E">
        <w:rPr>
          <w:rFonts w:asciiTheme="majorHAnsi" w:hAnsiTheme="majorHAnsi" w:cs="Tahoma"/>
          <w:b/>
          <w:sz w:val="28"/>
          <w:szCs w:val="28"/>
        </w:rPr>
        <w:t xml:space="preserve"> Annual Meeting</w:t>
      </w:r>
      <w:r w:rsidR="003157A4">
        <w:rPr>
          <w:rFonts w:asciiTheme="majorHAnsi" w:hAnsiTheme="majorHAnsi" w:cs="Tahoma"/>
          <w:b/>
          <w:sz w:val="28"/>
          <w:szCs w:val="28"/>
        </w:rPr>
        <w:t xml:space="preserve"> </w:t>
      </w:r>
      <w:r w:rsidRPr="00B67A2E">
        <w:rPr>
          <w:rFonts w:asciiTheme="majorHAnsi" w:hAnsiTheme="majorHAnsi" w:cs="Tahoma"/>
          <w:b/>
          <w:sz w:val="28"/>
          <w:szCs w:val="28"/>
        </w:rPr>
        <w:t>of the</w:t>
      </w:r>
    </w:p>
    <w:p w:rsidR="003157A4" w:rsidRDefault="003157A4" w:rsidP="008C5CD6">
      <w:pPr>
        <w:jc w:val="center"/>
        <w:rPr>
          <w:rFonts w:asciiTheme="majorHAnsi" w:hAnsiTheme="majorHAnsi" w:cs="Tahoma"/>
          <w:b/>
          <w:sz w:val="28"/>
          <w:szCs w:val="28"/>
        </w:rPr>
      </w:pPr>
    </w:p>
    <w:p w:rsidR="008C5CD6" w:rsidRPr="003157A4" w:rsidRDefault="008C5CD6" w:rsidP="008C5CD6">
      <w:pPr>
        <w:jc w:val="center"/>
        <w:rPr>
          <w:rFonts w:asciiTheme="majorHAnsi" w:hAnsiTheme="majorHAnsi" w:cs="Tahoma"/>
          <w:b/>
          <w:sz w:val="32"/>
          <w:szCs w:val="32"/>
        </w:rPr>
      </w:pPr>
      <w:r w:rsidRPr="003157A4">
        <w:rPr>
          <w:rFonts w:asciiTheme="majorHAnsi" w:hAnsiTheme="majorHAnsi" w:cs="Tahoma"/>
          <w:b/>
          <w:sz w:val="32"/>
          <w:szCs w:val="32"/>
        </w:rPr>
        <w:t>Art &amp; Science of Service</w:t>
      </w:r>
    </w:p>
    <w:p w:rsidR="003157A4" w:rsidRDefault="003157A4" w:rsidP="008C5CD6">
      <w:pPr>
        <w:jc w:val="center"/>
        <w:rPr>
          <w:rFonts w:asciiTheme="majorHAnsi" w:hAnsiTheme="majorHAnsi" w:cs="Tahoma"/>
          <w:b/>
          <w:sz w:val="28"/>
          <w:szCs w:val="28"/>
        </w:rPr>
      </w:pPr>
      <w:proofErr w:type="gramStart"/>
      <w:r>
        <w:rPr>
          <w:rFonts w:asciiTheme="majorHAnsi" w:hAnsiTheme="majorHAnsi" w:cs="Tahoma"/>
          <w:b/>
          <w:sz w:val="28"/>
          <w:szCs w:val="28"/>
        </w:rPr>
        <w:t>and</w:t>
      </w:r>
      <w:proofErr w:type="gramEnd"/>
    </w:p>
    <w:p w:rsidR="003157A4" w:rsidRPr="003157A4" w:rsidRDefault="003157A4" w:rsidP="008C5CD6">
      <w:pPr>
        <w:jc w:val="center"/>
        <w:rPr>
          <w:rFonts w:asciiTheme="majorHAnsi" w:hAnsiTheme="majorHAnsi" w:cs="Tahoma"/>
          <w:b/>
          <w:sz w:val="32"/>
          <w:szCs w:val="32"/>
        </w:rPr>
      </w:pPr>
      <w:r w:rsidRPr="003157A4">
        <w:rPr>
          <w:rFonts w:asciiTheme="majorHAnsi" w:hAnsiTheme="majorHAnsi" w:cs="Tahoma"/>
          <w:b/>
          <w:sz w:val="32"/>
          <w:szCs w:val="32"/>
        </w:rPr>
        <w:t>POMS College of Service Operations</w:t>
      </w:r>
    </w:p>
    <w:p w:rsidR="008C5CD6" w:rsidRPr="00B67A2E" w:rsidRDefault="008C5CD6" w:rsidP="008C5CD6">
      <w:pPr>
        <w:outlineLvl w:val="0"/>
        <w:rPr>
          <w:rFonts w:asciiTheme="majorHAnsi" w:hAnsiTheme="majorHAnsi" w:cs="Tahoma"/>
          <w:b/>
          <w:sz w:val="28"/>
          <w:szCs w:val="28"/>
          <w:u w:val="single"/>
        </w:rPr>
      </w:pPr>
    </w:p>
    <w:p w:rsidR="008C5CD6" w:rsidRPr="00B67A2E" w:rsidRDefault="008C5CD6" w:rsidP="008C5CD6">
      <w:pPr>
        <w:jc w:val="center"/>
        <w:outlineLvl w:val="0"/>
        <w:rPr>
          <w:rFonts w:asciiTheme="majorHAnsi" w:hAnsiTheme="majorHAnsi" w:cs="Tahoma"/>
          <w:b/>
          <w:sz w:val="28"/>
          <w:szCs w:val="28"/>
        </w:rPr>
      </w:pPr>
      <w:r w:rsidRPr="00B67A2E">
        <w:rPr>
          <w:rFonts w:asciiTheme="majorHAnsi" w:hAnsiTheme="majorHAnsi" w:cs="Tahoma"/>
          <w:b/>
          <w:sz w:val="28"/>
          <w:szCs w:val="28"/>
        </w:rPr>
        <w:t xml:space="preserve">June </w:t>
      </w:r>
      <w:r w:rsidR="006D51B8">
        <w:rPr>
          <w:rFonts w:asciiTheme="majorHAnsi" w:hAnsiTheme="majorHAnsi" w:cs="Tahoma"/>
          <w:b/>
          <w:sz w:val="28"/>
          <w:szCs w:val="28"/>
        </w:rPr>
        <w:t>27-29</w:t>
      </w:r>
      <w:r w:rsidRPr="00B67A2E">
        <w:rPr>
          <w:rFonts w:asciiTheme="majorHAnsi" w:hAnsiTheme="majorHAnsi" w:cs="Tahoma"/>
          <w:b/>
          <w:sz w:val="28"/>
          <w:szCs w:val="28"/>
        </w:rPr>
        <w:t>, 201</w:t>
      </w:r>
      <w:r w:rsidR="006D51B8">
        <w:rPr>
          <w:rFonts w:asciiTheme="majorHAnsi" w:hAnsiTheme="majorHAnsi" w:cs="Tahoma"/>
          <w:b/>
          <w:sz w:val="28"/>
          <w:szCs w:val="28"/>
        </w:rPr>
        <w:t>2</w:t>
      </w:r>
    </w:p>
    <w:p w:rsidR="008C5CD6" w:rsidRPr="00B67A2E" w:rsidRDefault="000A502E" w:rsidP="008C5CD6">
      <w:pPr>
        <w:jc w:val="center"/>
        <w:outlineLvl w:val="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 xml:space="preserve"> Maastricht University</w:t>
      </w:r>
    </w:p>
    <w:p w:rsidR="00F95F60" w:rsidRPr="00B67A2E" w:rsidRDefault="000A502E" w:rsidP="008C5CD6">
      <w:pPr>
        <w:jc w:val="center"/>
        <w:outlineLvl w:val="0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ajorHAnsi" w:hAnsiTheme="majorHAnsi" w:cs="Tahoma"/>
          <w:b/>
          <w:sz w:val="28"/>
          <w:szCs w:val="28"/>
        </w:rPr>
        <w:t xml:space="preserve"> </w:t>
      </w:r>
    </w:p>
    <w:p w:rsidR="008C5CD6" w:rsidRPr="00B67A2E" w:rsidRDefault="008C5CD6" w:rsidP="008C5CD6">
      <w:pPr>
        <w:outlineLvl w:val="0"/>
        <w:rPr>
          <w:rFonts w:asciiTheme="majorHAnsi" w:hAnsiTheme="majorHAnsi" w:cs="Tahoma"/>
          <w:b/>
          <w:sz w:val="28"/>
          <w:szCs w:val="28"/>
          <w:u w:val="single"/>
        </w:rPr>
      </w:pPr>
    </w:p>
    <w:p w:rsidR="00CC2EDB" w:rsidRPr="00B67A2E" w:rsidRDefault="006D51B8" w:rsidP="00CC2EDB">
      <w:pPr>
        <w:jc w:val="center"/>
        <w:outlineLvl w:val="0"/>
        <w:rPr>
          <w:rFonts w:asciiTheme="majorHAnsi" w:hAnsiTheme="majorHAnsi" w:cs="Tahoma"/>
          <w:b/>
          <w:sz w:val="32"/>
          <w:szCs w:val="32"/>
          <w:u w:val="single"/>
        </w:rPr>
      </w:pPr>
      <w:r>
        <w:rPr>
          <w:rFonts w:asciiTheme="majorHAnsi" w:hAnsiTheme="majorHAnsi" w:cs="Tahoma"/>
          <w:b/>
          <w:sz w:val="32"/>
          <w:szCs w:val="32"/>
          <w:u w:val="single"/>
        </w:rPr>
        <w:t xml:space="preserve">Innovations in Service </w:t>
      </w:r>
      <w:r w:rsidR="00136B94">
        <w:rPr>
          <w:rFonts w:asciiTheme="majorHAnsi" w:hAnsiTheme="majorHAnsi" w:cs="Tahoma"/>
          <w:b/>
          <w:sz w:val="32"/>
          <w:szCs w:val="32"/>
          <w:u w:val="single"/>
        </w:rPr>
        <w:t>Supply</w:t>
      </w:r>
      <w:r>
        <w:rPr>
          <w:rFonts w:asciiTheme="majorHAnsi" w:hAnsiTheme="majorHAnsi" w:cs="Tahoma"/>
          <w:b/>
          <w:sz w:val="32"/>
          <w:szCs w:val="32"/>
          <w:u w:val="single"/>
        </w:rPr>
        <w:t xml:space="preserve"> Chain Design</w:t>
      </w:r>
    </w:p>
    <w:p w:rsidR="00CC2EDB" w:rsidRDefault="00CC2EDB" w:rsidP="00F95F60">
      <w:pPr>
        <w:outlineLvl w:val="0"/>
        <w:rPr>
          <w:rFonts w:asciiTheme="minorHAnsi" w:hAnsiTheme="minorHAnsi" w:cs="Tahoma"/>
          <w:b/>
          <w:u w:val="single"/>
        </w:rPr>
      </w:pPr>
    </w:p>
    <w:p w:rsidR="00B67A2E" w:rsidRPr="00B67A2E" w:rsidRDefault="00B67A2E" w:rsidP="00F95F60">
      <w:pPr>
        <w:outlineLvl w:val="0"/>
        <w:rPr>
          <w:rFonts w:asciiTheme="minorHAnsi" w:hAnsiTheme="minorHAnsi" w:cs="Tahoma"/>
          <w:b/>
          <w:u w:val="single"/>
        </w:rPr>
      </w:pPr>
    </w:p>
    <w:p w:rsidR="00F95F60" w:rsidRPr="00D40221" w:rsidRDefault="00F95F60" w:rsidP="00F95F60">
      <w:pPr>
        <w:outlineLvl w:val="0"/>
        <w:rPr>
          <w:rFonts w:asciiTheme="minorHAnsi" w:hAnsiTheme="minorHAnsi" w:cs="Tahoma"/>
          <w:b/>
          <w:u w:val="single"/>
        </w:rPr>
      </w:pPr>
      <w:r w:rsidRPr="00D40221">
        <w:rPr>
          <w:rFonts w:asciiTheme="minorHAnsi" w:hAnsiTheme="minorHAnsi" w:cs="Tahoma"/>
          <w:b/>
          <w:u w:val="single"/>
        </w:rPr>
        <w:t>Meeting Announcement:</w:t>
      </w:r>
    </w:p>
    <w:p w:rsidR="00F95F60" w:rsidRPr="00D40221" w:rsidRDefault="00F95F60" w:rsidP="00F95F60">
      <w:pPr>
        <w:rPr>
          <w:rFonts w:asciiTheme="minorHAnsi" w:hAnsiTheme="minorHAnsi" w:cs="Tahoma"/>
        </w:rPr>
      </w:pPr>
    </w:p>
    <w:p w:rsidR="00F95F60" w:rsidRPr="00D40221" w:rsidRDefault="00F95F60" w:rsidP="00F95F60">
      <w:pPr>
        <w:jc w:val="both"/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 xml:space="preserve">The Art &amp; Science of Service Meeting is a truly transdisciplinary meeting involving academics and practitioners from disciplines and </w:t>
      </w:r>
      <w:r w:rsidR="005A2B5C" w:rsidRPr="00D40221">
        <w:rPr>
          <w:rFonts w:asciiTheme="minorHAnsi" w:hAnsiTheme="minorHAnsi" w:cs="Tahoma"/>
        </w:rPr>
        <w:t>organizations</w:t>
      </w:r>
      <w:r w:rsidRPr="00D40221">
        <w:rPr>
          <w:rFonts w:asciiTheme="minorHAnsi" w:hAnsiTheme="minorHAnsi" w:cs="Tahoma"/>
        </w:rPr>
        <w:t xml:space="preserve"> that focus on the service delivery process and the </w:t>
      </w:r>
      <w:r w:rsidR="005A2B5C" w:rsidRPr="00D40221">
        <w:rPr>
          <w:rFonts w:asciiTheme="minorHAnsi" w:hAnsiTheme="minorHAnsi" w:cs="Tahoma"/>
        </w:rPr>
        <w:t xml:space="preserve">service </w:t>
      </w:r>
      <w:r w:rsidRPr="00D40221">
        <w:rPr>
          <w:rFonts w:asciiTheme="minorHAnsi" w:hAnsiTheme="minorHAnsi" w:cs="Tahoma"/>
        </w:rPr>
        <w:t xml:space="preserve">systems that support it. Some of the academic disciplines that </w:t>
      </w:r>
      <w:r w:rsidR="005A2B5C" w:rsidRPr="00D40221">
        <w:rPr>
          <w:rFonts w:asciiTheme="minorHAnsi" w:hAnsiTheme="minorHAnsi" w:cs="Tahoma"/>
        </w:rPr>
        <w:t>participate in this meeting include</w:t>
      </w:r>
      <w:r w:rsidRPr="00D40221">
        <w:rPr>
          <w:rFonts w:asciiTheme="minorHAnsi" w:hAnsiTheme="minorHAnsi" w:cs="Tahoma"/>
        </w:rPr>
        <w:t xml:space="preserve"> operations, marketing, information technology, design, and human resource management, among others. </w:t>
      </w:r>
    </w:p>
    <w:p w:rsidR="00136B94" w:rsidRPr="00D40221" w:rsidRDefault="006A53F9" w:rsidP="00CC2EDB">
      <w:pPr>
        <w:pStyle w:val="NormalWeb"/>
        <w:jc w:val="both"/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Innovative</w:t>
      </w:r>
      <w:r w:rsidR="00ED683B" w:rsidRPr="00D40221">
        <w:rPr>
          <w:rFonts w:asciiTheme="minorHAnsi" w:hAnsiTheme="minorHAnsi" w:cs="Tahoma"/>
        </w:rPr>
        <w:t xml:space="preserve"> technologies and approaches for configuring and connecting resources have </w:t>
      </w:r>
      <w:r w:rsidR="000371EA" w:rsidRPr="00D40221">
        <w:rPr>
          <w:rFonts w:asciiTheme="minorHAnsi" w:hAnsiTheme="minorHAnsi" w:cs="Tahoma"/>
        </w:rPr>
        <w:t>created new</w:t>
      </w:r>
      <w:r w:rsidR="00ED683B" w:rsidRPr="00D40221">
        <w:rPr>
          <w:rFonts w:asciiTheme="minorHAnsi" w:hAnsiTheme="minorHAnsi" w:cs="Tahoma"/>
        </w:rPr>
        <w:t xml:space="preserve"> </w:t>
      </w:r>
      <w:r w:rsidR="006741B6" w:rsidRPr="00D40221">
        <w:rPr>
          <w:rFonts w:asciiTheme="minorHAnsi" w:hAnsiTheme="minorHAnsi" w:cs="Tahoma"/>
        </w:rPr>
        <w:t>opportunities</w:t>
      </w:r>
      <w:r w:rsidR="00ED683B" w:rsidRPr="00D40221">
        <w:rPr>
          <w:rFonts w:asciiTheme="minorHAnsi" w:hAnsiTheme="minorHAnsi" w:cs="Tahoma"/>
        </w:rPr>
        <w:t xml:space="preserve"> </w:t>
      </w:r>
      <w:r w:rsidRPr="00D40221">
        <w:rPr>
          <w:rFonts w:asciiTheme="minorHAnsi" w:hAnsiTheme="minorHAnsi" w:cs="Tahoma"/>
        </w:rPr>
        <w:t xml:space="preserve">for </w:t>
      </w:r>
      <w:r w:rsidR="000371EA" w:rsidRPr="00D40221">
        <w:rPr>
          <w:rFonts w:asciiTheme="minorHAnsi" w:hAnsiTheme="minorHAnsi" w:cs="Tahoma"/>
        </w:rPr>
        <w:t>increasing value through service supply chain design</w:t>
      </w:r>
      <w:r w:rsidRPr="00D40221">
        <w:rPr>
          <w:rFonts w:asciiTheme="minorHAnsi" w:hAnsiTheme="minorHAnsi" w:cs="Tahoma"/>
        </w:rPr>
        <w:t xml:space="preserve">.  </w:t>
      </w:r>
      <w:r w:rsidR="00E868F3" w:rsidRPr="00D40221">
        <w:rPr>
          <w:rFonts w:asciiTheme="minorHAnsi" w:hAnsiTheme="minorHAnsi" w:cs="Tahoma"/>
        </w:rPr>
        <w:t>Information sharing technologies are bringing customers, service providers, and service suppliers</w:t>
      </w:r>
      <w:r w:rsidR="00790139" w:rsidRPr="00D40221">
        <w:rPr>
          <w:rFonts w:asciiTheme="minorHAnsi" w:hAnsiTheme="minorHAnsi" w:cs="Tahoma"/>
        </w:rPr>
        <w:t xml:space="preserve"> closer</w:t>
      </w:r>
      <w:r w:rsidR="00E868F3" w:rsidRPr="00D40221">
        <w:rPr>
          <w:rFonts w:asciiTheme="minorHAnsi" w:hAnsiTheme="minorHAnsi" w:cs="Tahoma"/>
        </w:rPr>
        <w:t xml:space="preserve"> together in ways that </w:t>
      </w:r>
      <w:r w:rsidR="000371EA" w:rsidRPr="00D40221">
        <w:rPr>
          <w:rFonts w:asciiTheme="minorHAnsi" w:hAnsiTheme="minorHAnsi" w:cs="Tahoma"/>
        </w:rPr>
        <w:t>have only become possible in the past</w:t>
      </w:r>
      <w:r w:rsidR="00E868F3" w:rsidRPr="00D40221">
        <w:rPr>
          <w:rFonts w:asciiTheme="minorHAnsi" w:hAnsiTheme="minorHAnsi" w:cs="Tahoma"/>
        </w:rPr>
        <w:t xml:space="preserve"> few years.  </w:t>
      </w:r>
      <w:r w:rsidR="00007D6C" w:rsidRPr="00D40221">
        <w:rPr>
          <w:rFonts w:asciiTheme="minorHAnsi" w:hAnsiTheme="minorHAnsi" w:cs="Tahoma"/>
        </w:rPr>
        <w:t>Geographic limitations on supply chains are</w:t>
      </w:r>
      <w:r w:rsidR="00790139" w:rsidRPr="00D40221">
        <w:rPr>
          <w:rFonts w:asciiTheme="minorHAnsi" w:hAnsiTheme="minorHAnsi" w:cs="Tahoma"/>
        </w:rPr>
        <w:t xml:space="preserve"> having less of an impact</w:t>
      </w:r>
      <w:r w:rsidR="00007D6C" w:rsidRPr="00D40221">
        <w:rPr>
          <w:rFonts w:asciiTheme="minorHAnsi" w:hAnsiTheme="minorHAnsi" w:cs="Tahoma"/>
        </w:rPr>
        <w:t xml:space="preserve"> as </w:t>
      </w:r>
      <w:r w:rsidR="00E36220" w:rsidRPr="00D40221">
        <w:rPr>
          <w:rFonts w:asciiTheme="minorHAnsi" w:hAnsiTheme="minorHAnsi" w:cs="Tahoma"/>
        </w:rPr>
        <w:t>an increasing number of services, including</w:t>
      </w:r>
      <w:r w:rsidR="00007D6C" w:rsidRPr="00D40221">
        <w:rPr>
          <w:rFonts w:asciiTheme="minorHAnsi" w:hAnsiTheme="minorHAnsi" w:cs="Tahoma"/>
        </w:rPr>
        <w:t xml:space="preserve"> customer service, software design, and even medical treatment</w:t>
      </w:r>
      <w:r w:rsidR="00E36220" w:rsidRPr="00D40221">
        <w:rPr>
          <w:rFonts w:asciiTheme="minorHAnsi" w:hAnsiTheme="minorHAnsi" w:cs="Tahoma"/>
        </w:rPr>
        <w:t>,</w:t>
      </w:r>
      <w:r w:rsidR="00007D6C" w:rsidRPr="00D40221">
        <w:rPr>
          <w:rFonts w:asciiTheme="minorHAnsi" w:hAnsiTheme="minorHAnsi" w:cs="Tahoma"/>
        </w:rPr>
        <w:t xml:space="preserve"> can be sourced globally.  </w:t>
      </w:r>
      <w:r w:rsidR="00E36220" w:rsidRPr="00D40221">
        <w:rPr>
          <w:rFonts w:asciiTheme="minorHAnsi" w:hAnsiTheme="minorHAnsi" w:cs="Tahoma"/>
        </w:rPr>
        <w:t>Approaches such as open innovation</w:t>
      </w:r>
      <w:r w:rsidR="00007D6C" w:rsidRPr="00D40221">
        <w:rPr>
          <w:rFonts w:asciiTheme="minorHAnsi" w:hAnsiTheme="minorHAnsi" w:cs="Tahoma"/>
        </w:rPr>
        <w:t xml:space="preserve"> </w:t>
      </w:r>
      <w:r w:rsidR="006741B6" w:rsidRPr="00D40221">
        <w:rPr>
          <w:rFonts w:asciiTheme="minorHAnsi" w:hAnsiTheme="minorHAnsi" w:cs="Tahoma"/>
        </w:rPr>
        <w:t xml:space="preserve">allow </w:t>
      </w:r>
      <w:r w:rsidR="00E36220" w:rsidRPr="00D40221">
        <w:rPr>
          <w:rFonts w:asciiTheme="minorHAnsi" w:hAnsiTheme="minorHAnsi" w:cs="Tahoma"/>
        </w:rPr>
        <w:t xml:space="preserve">the service supply chain </w:t>
      </w:r>
      <w:r w:rsidR="006741B6" w:rsidRPr="00D40221">
        <w:rPr>
          <w:rFonts w:asciiTheme="minorHAnsi" w:hAnsiTheme="minorHAnsi" w:cs="Tahoma"/>
        </w:rPr>
        <w:t xml:space="preserve">design process to be accessible </w:t>
      </w:r>
      <w:r w:rsidR="00E36220" w:rsidRPr="00D40221">
        <w:rPr>
          <w:rFonts w:asciiTheme="minorHAnsi" w:hAnsiTheme="minorHAnsi" w:cs="Tahoma"/>
        </w:rPr>
        <w:t xml:space="preserve">to non-traditional </w:t>
      </w:r>
      <w:r w:rsidR="006741B6" w:rsidRPr="00D40221">
        <w:rPr>
          <w:rFonts w:asciiTheme="minorHAnsi" w:hAnsiTheme="minorHAnsi" w:cs="Tahoma"/>
        </w:rPr>
        <w:t>contributors</w:t>
      </w:r>
      <w:r w:rsidR="00E36220" w:rsidRPr="00D40221">
        <w:rPr>
          <w:rFonts w:asciiTheme="minorHAnsi" w:hAnsiTheme="minorHAnsi" w:cs="Tahoma"/>
        </w:rPr>
        <w:t xml:space="preserve"> and self-service technologies are allowing customers to participate to a greater extent in the service delivery process.</w:t>
      </w:r>
      <w:r w:rsidR="006741B6" w:rsidRPr="00D40221">
        <w:rPr>
          <w:rFonts w:asciiTheme="minorHAnsi" w:hAnsiTheme="minorHAnsi" w:cs="Tahoma"/>
        </w:rPr>
        <w:t xml:space="preserve">  While these innovations </w:t>
      </w:r>
      <w:r w:rsidR="00871C91" w:rsidRPr="00D40221">
        <w:rPr>
          <w:rFonts w:asciiTheme="minorHAnsi" w:hAnsiTheme="minorHAnsi" w:cs="Tahoma"/>
        </w:rPr>
        <w:t>are</w:t>
      </w:r>
      <w:r w:rsidR="006741B6" w:rsidRPr="00D40221">
        <w:rPr>
          <w:rFonts w:asciiTheme="minorHAnsi" w:hAnsiTheme="minorHAnsi" w:cs="Tahoma"/>
        </w:rPr>
        <w:t xml:space="preserve"> intended to enhance the customer experience and increase productivity and profitability, </w:t>
      </w:r>
      <w:r w:rsidR="00871C91" w:rsidRPr="00D40221">
        <w:rPr>
          <w:rFonts w:asciiTheme="minorHAnsi" w:hAnsiTheme="minorHAnsi" w:cs="Tahoma"/>
        </w:rPr>
        <w:t xml:space="preserve">a better understanding of the net value to the various stakeholders is still needed. </w:t>
      </w:r>
      <w:r w:rsidR="006741B6" w:rsidRPr="00D40221">
        <w:rPr>
          <w:rFonts w:asciiTheme="minorHAnsi" w:hAnsiTheme="minorHAnsi" w:cs="Tahoma"/>
        </w:rPr>
        <w:t xml:space="preserve"> </w:t>
      </w:r>
      <w:r w:rsidR="00871C91" w:rsidRPr="00D40221">
        <w:rPr>
          <w:rFonts w:asciiTheme="minorHAnsi" w:hAnsiTheme="minorHAnsi" w:cs="Tahoma"/>
        </w:rPr>
        <w:t>With t</w:t>
      </w:r>
      <w:r w:rsidRPr="00D40221">
        <w:rPr>
          <w:rFonts w:asciiTheme="minorHAnsi" w:hAnsiTheme="minorHAnsi" w:cs="Tahoma"/>
        </w:rPr>
        <w:t>he</w:t>
      </w:r>
      <w:r w:rsidR="00E868F3" w:rsidRPr="00D40221">
        <w:rPr>
          <w:rFonts w:asciiTheme="minorHAnsi" w:hAnsiTheme="minorHAnsi" w:cs="Tahoma"/>
        </w:rPr>
        <w:t xml:space="preserve"> theme for the 2012 conference</w:t>
      </w:r>
      <w:r w:rsidR="00871C91" w:rsidRPr="00D40221">
        <w:rPr>
          <w:rFonts w:asciiTheme="minorHAnsi" w:hAnsiTheme="minorHAnsi" w:cs="Tahoma"/>
        </w:rPr>
        <w:t xml:space="preserve">, </w:t>
      </w:r>
      <w:r w:rsidRPr="00D40221">
        <w:rPr>
          <w:rFonts w:asciiTheme="minorHAnsi" w:hAnsiTheme="minorHAnsi" w:cs="Tahoma"/>
        </w:rPr>
        <w:t xml:space="preserve">service researchers and practitioners </w:t>
      </w:r>
      <w:r w:rsidR="00871C91" w:rsidRPr="00D40221">
        <w:rPr>
          <w:rFonts w:asciiTheme="minorHAnsi" w:hAnsiTheme="minorHAnsi" w:cs="Tahoma"/>
        </w:rPr>
        <w:t xml:space="preserve">are invited </w:t>
      </w:r>
      <w:r w:rsidRPr="00D40221">
        <w:rPr>
          <w:rFonts w:asciiTheme="minorHAnsi" w:hAnsiTheme="minorHAnsi" w:cs="Tahoma"/>
        </w:rPr>
        <w:t>to share</w:t>
      </w:r>
      <w:r w:rsidR="00E868F3" w:rsidRPr="00D40221">
        <w:rPr>
          <w:rFonts w:asciiTheme="minorHAnsi" w:hAnsiTheme="minorHAnsi" w:cs="Tahoma"/>
        </w:rPr>
        <w:t xml:space="preserve"> innovations in service supply chain design </w:t>
      </w:r>
      <w:r w:rsidR="00E36220" w:rsidRPr="00D40221">
        <w:rPr>
          <w:rFonts w:asciiTheme="minorHAnsi" w:hAnsiTheme="minorHAnsi" w:cs="Tahoma"/>
        </w:rPr>
        <w:t>and their implications for</w:t>
      </w:r>
      <w:r w:rsidR="00871C91" w:rsidRPr="00D40221">
        <w:rPr>
          <w:rFonts w:asciiTheme="minorHAnsi" w:hAnsiTheme="minorHAnsi" w:cs="Tahoma"/>
        </w:rPr>
        <w:t xml:space="preserve"> service value-creation.</w:t>
      </w:r>
    </w:p>
    <w:p w:rsidR="00246869" w:rsidRPr="00D40221" w:rsidRDefault="00246869" w:rsidP="00246869">
      <w:pPr>
        <w:pBdr>
          <w:bottom w:val="single" w:sz="6" w:space="1" w:color="auto"/>
        </w:pBdr>
        <w:jc w:val="center"/>
        <w:rPr>
          <w:rFonts w:asciiTheme="minorHAnsi" w:eastAsia="Times New Roman" w:hAnsiTheme="minorHAnsi" w:cs="Arial"/>
          <w:vanish/>
          <w:u w:val="single"/>
        </w:rPr>
      </w:pPr>
      <w:r w:rsidRPr="00D40221">
        <w:rPr>
          <w:rFonts w:asciiTheme="minorHAnsi" w:eastAsia="Times New Roman" w:hAnsiTheme="minorHAnsi" w:cs="Arial"/>
          <w:vanish/>
          <w:u w:val="single"/>
        </w:rPr>
        <w:lastRenderedPageBreak/>
        <w:t>Top of Form</w:t>
      </w:r>
    </w:p>
    <w:p w:rsidR="00246869" w:rsidRPr="00D40221" w:rsidRDefault="00246869" w:rsidP="00246869">
      <w:pPr>
        <w:pBdr>
          <w:top w:val="single" w:sz="6" w:space="1" w:color="auto"/>
        </w:pBdr>
        <w:jc w:val="center"/>
        <w:rPr>
          <w:rFonts w:asciiTheme="minorHAnsi" w:eastAsia="Times New Roman" w:hAnsiTheme="minorHAnsi" w:cs="Arial"/>
          <w:vanish/>
        </w:rPr>
      </w:pPr>
      <w:r w:rsidRPr="00D40221">
        <w:rPr>
          <w:rFonts w:asciiTheme="minorHAnsi" w:eastAsia="Times New Roman" w:hAnsiTheme="minorHAnsi" w:cs="Arial"/>
          <w:vanish/>
        </w:rPr>
        <w:t>Bottom of Form</w:t>
      </w:r>
    </w:p>
    <w:p w:rsidR="00312F4F" w:rsidRPr="00D40221" w:rsidRDefault="00CC2EDB" w:rsidP="00CC2EDB">
      <w:pPr>
        <w:pStyle w:val="NormalWeb"/>
        <w:jc w:val="both"/>
        <w:rPr>
          <w:rFonts w:asciiTheme="minorHAnsi" w:hAnsiTheme="minorHAnsi" w:cs="Tahoma"/>
          <w:b/>
          <w:u w:val="single"/>
        </w:rPr>
      </w:pPr>
      <w:r w:rsidRPr="00D40221">
        <w:rPr>
          <w:rFonts w:asciiTheme="minorHAnsi" w:hAnsiTheme="minorHAnsi" w:cs="Tahoma"/>
          <w:b/>
          <w:u w:val="single"/>
        </w:rPr>
        <w:t xml:space="preserve">For </w:t>
      </w:r>
      <w:r w:rsidR="003D514B" w:rsidRPr="00D40221">
        <w:rPr>
          <w:rFonts w:asciiTheme="minorHAnsi" w:hAnsiTheme="minorHAnsi" w:cs="Tahoma"/>
          <w:b/>
          <w:u w:val="single"/>
        </w:rPr>
        <w:t>the 2012</w:t>
      </w:r>
      <w:r w:rsidRPr="00D40221">
        <w:rPr>
          <w:rFonts w:asciiTheme="minorHAnsi" w:hAnsiTheme="minorHAnsi" w:cs="Tahoma"/>
          <w:b/>
          <w:u w:val="single"/>
        </w:rPr>
        <w:t xml:space="preserve"> conference, </w:t>
      </w:r>
      <w:r w:rsidR="005A2B5C" w:rsidRPr="00D40221">
        <w:rPr>
          <w:rFonts w:asciiTheme="minorHAnsi" w:hAnsiTheme="minorHAnsi" w:cs="Tahoma"/>
          <w:b/>
          <w:u w:val="single"/>
        </w:rPr>
        <w:t xml:space="preserve">we seek submissions that </w:t>
      </w:r>
      <w:r w:rsidR="00AD4827" w:rsidRPr="00D40221">
        <w:rPr>
          <w:rFonts w:asciiTheme="minorHAnsi" w:hAnsiTheme="minorHAnsi" w:cs="Tahoma"/>
          <w:b/>
          <w:u w:val="single"/>
        </w:rPr>
        <w:t>include, but are not limited to, the</w:t>
      </w:r>
      <w:r w:rsidRPr="00D40221">
        <w:rPr>
          <w:rFonts w:asciiTheme="minorHAnsi" w:hAnsiTheme="minorHAnsi" w:cs="Tahoma"/>
          <w:b/>
          <w:u w:val="single"/>
        </w:rPr>
        <w:t xml:space="preserve"> following topics</w:t>
      </w:r>
      <w:r w:rsidR="00312F4F" w:rsidRPr="00D40221">
        <w:rPr>
          <w:rFonts w:asciiTheme="minorHAnsi" w:hAnsiTheme="minorHAnsi" w:cs="Tahoma"/>
          <w:b/>
          <w:u w:val="single"/>
        </w:rPr>
        <w:t xml:space="preserve"> as they relate to </w:t>
      </w:r>
      <w:r w:rsidR="006D51B8" w:rsidRPr="00D40221">
        <w:rPr>
          <w:rFonts w:asciiTheme="minorHAnsi" w:hAnsiTheme="minorHAnsi" w:cs="Tahoma"/>
          <w:b/>
          <w:u w:val="single"/>
        </w:rPr>
        <w:t>innovations in service supply chain design</w:t>
      </w:r>
      <w:r w:rsidRPr="00D40221">
        <w:rPr>
          <w:rFonts w:asciiTheme="minorHAnsi" w:hAnsiTheme="minorHAnsi" w:cs="Tahoma"/>
          <w:b/>
          <w:u w:val="single"/>
        </w:rPr>
        <w:t>:</w:t>
      </w:r>
    </w:p>
    <w:p w:rsidR="00CC2EDB" w:rsidRPr="00D40221" w:rsidRDefault="00206F89" w:rsidP="00CC2EDB">
      <w:pPr>
        <w:pStyle w:val="NormalWeb"/>
        <w:jc w:val="both"/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  <w:i/>
          <w:iCs/>
        </w:rPr>
        <w:t>Technology in the Service Supply Chain</w:t>
      </w:r>
    </w:p>
    <w:p w:rsidR="003D514B" w:rsidRPr="00D40221" w:rsidRDefault="0071321E" w:rsidP="00CC2ED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Innovative t</w:t>
      </w:r>
      <w:r w:rsidR="00206F89" w:rsidRPr="00D40221">
        <w:rPr>
          <w:rFonts w:asciiTheme="minorHAnsi" w:eastAsia="Times New Roman" w:hAnsiTheme="minorHAnsi" w:cs="Tahoma"/>
        </w:rPr>
        <w:t xml:space="preserve">echnologies to enhance </w:t>
      </w:r>
      <w:r w:rsidR="00DF1377" w:rsidRPr="00D40221">
        <w:rPr>
          <w:rFonts w:asciiTheme="minorHAnsi" w:eastAsia="Times New Roman" w:hAnsiTheme="minorHAnsi" w:cs="Tahoma"/>
        </w:rPr>
        <w:t>the customer experience and improve efficiency</w:t>
      </w:r>
    </w:p>
    <w:p w:rsidR="00CC2EDB" w:rsidRPr="00D40221" w:rsidRDefault="00206F89" w:rsidP="00CC2ED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Information systems to enable information sharing and coordination across the service supply chain</w:t>
      </w:r>
    </w:p>
    <w:p w:rsidR="00312F4F" w:rsidRPr="00D40221" w:rsidRDefault="0095280C" w:rsidP="00312F4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Leveraging social media</w:t>
      </w:r>
    </w:p>
    <w:p w:rsidR="00CC2EDB" w:rsidRPr="00D40221" w:rsidRDefault="00206F89" w:rsidP="00312F4F">
      <w:p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  <w:i/>
          <w:iCs/>
        </w:rPr>
        <w:t>Globalization of Service Supply Chains</w:t>
      </w:r>
    </w:p>
    <w:p w:rsidR="00CC2EDB" w:rsidRPr="00D40221" w:rsidRDefault="00206F89" w:rsidP="00CC2ED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 xml:space="preserve">Creating </w:t>
      </w:r>
      <w:r w:rsidR="0095280C" w:rsidRPr="00D40221">
        <w:rPr>
          <w:rFonts w:asciiTheme="minorHAnsi" w:eastAsia="Times New Roman" w:hAnsiTheme="minorHAnsi" w:cs="Tahoma"/>
        </w:rPr>
        <w:t>and optimizing global distributed networks</w:t>
      </w:r>
      <w:r w:rsidR="00CC2EDB" w:rsidRPr="00D40221">
        <w:rPr>
          <w:rFonts w:asciiTheme="minorHAnsi" w:eastAsia="Times New Roman" w:hAnsiTheme="minorHAnsi" w:cs="Tahoma"/>
        </w:rPr>
        <w:t xml:space="preserve"> </w:t>
      </w:r>
    </w:p>
    <w:p w:rsidR="00CC2EDB" w:rsidRPr="00D40221" w:rsidRDefault="0095280C" w:rsidP="00CC2ED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Global services outsourcing and offshoring</w:t>
      </w:r>
    </w:p>
    <w:p w:rsidR="00790139" w:rsidRPr="00D40221" w:rsidRDefault="003D514B" w:rsidP="0079013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Risk identification and mitigation in global service supply chains</w:t>
      </w:r>
    </w:p>
    <w:p w:rsidR="00790139" w:rsidRPr="00D40221" w:rsidRDefault="00790139" w:rsidP="00CC2EDB">
      <w:pPr>
        <w:jc w:val="both"/>
        <w:rPr>
          <w:rFonts w:asciiTheme="minorHAnsi" w:eastAsia="Times New Roman" w:hAnsiTheme="minorHAnsi" w:cs="Tahoma"/>
          <w:i/>
          <w:iCs/>
        </w:rPr>
      </w:pPr>
      <w:r w:rsidRPr="00D40221">
        <w:rPr>
          <w:rFonts w:asciiTheme="minorHAnsi" w:eastAsia="Times New Roman" w:hAnsiTheme="minorHAnsi" w:cs="Tahoma"/>
          <w:i/>
          <w:iCs/>
        </w:rPr>
        <w:t>Sustainability Issues in Designing Service Supply Chains</w:t>
      </w:r>
    </w:p>
    <w:p w:rsidR="00C25322" w:rsidRPr="00D40221" w:rsidRDefault="00C25322" w:rsidP="00C253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Measuring and improving environmental impacts</w:t>
      </w:r>
    </w:p>
    <w:p w:rsidR="00C25322" w:rsidRPr="00D40221" w:rsidRDefault="00C25322" w:rsidP="00C2532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Corporate social responsibility programs</w:t>
      </w:r>
    </w:p>
    <w:p w:rsidR="00CC2EDB" w:rsidRPr="00D40221" w:rsidRDefault="00206F89" w:rsidP="00CC2EDB">
      <w:pPr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  <w:i/>
          <w:iCs/>
        </w:rPr>
        <w:t>Managing Stakeholder Relationships</w:t>
      </w:r>
    </w:p>
    <w:p w:rsidR="007645F0" w:rsidRPr="00D40221" w:rsidRDefault="007645F0" w:rsidP="00CC2ED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Customer-centric service design</w:t>
      </w:r>
    </w:p>
    <w:p w:rsidR="00CC2EDB" w:rsidRPr="00D40221" w:rsidRDefault="0095280C" w:rsidP="00CC2ED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 xml:space="preserve">Contracting relationships </w:t>
      </w:r>
      <w:r w:rsidR="00AD4827" w:rsidRPr="00D40221">
        <w:rPr>
          <w:rFonts w:asciiTheme="minorHAnsi" w:eastAsia="Times New Roman" w:hAnsiTheme="minorHAnsi" w:cs="Tahoma"/>
        </w:rPr>
        <w:t>and governance</w:t>
      </w:r>
      <w:r w:rsidR="00D74611" w:rsidRPr="00D40221">
        <w:rPr>
          <w:rFonts w:asciiTheme="minorHAnsi" w:eastAsia="Times New Roman" w:hAnsiTheme="minorHAnsi" w:cs="Tahoma"/>
        </w:rPr>
        <w:t xml:space="preserve"> of the service supply chain</w:t>
      </w:r>
    </w:p>
    <w:p w:rsidR="006746B6" w:rsidRPr="00D40221" w:rsidRDefault="00DF1377" w:rsidP="00CC2ED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Developing the capabilities of service supply chain partners</w:t>
      </w:r>
    </w:p>
    <w:p w:rsidR="003D514B" w:rsidRPr="00D40221" w:rsidRDefault="00446D9B" w:rsidP="003D514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 xml:space="preserve">Challenges in </w:t>
      </w:r>
      <w:r w:rsidR="006746B6" w:rsidRPr="00D40221">
        <w:rPr>
          <w:rFonts w:asciiTheme="minorHAnsi" w:eastAsia="Times New Roman" w:hAnsiTheme="minorHAnsi" w:cs="Tahoma"/>
        </w:rPr>
        <w:t xml:space="preserve">building and maintaining </w:t>
      </w:r>
      <w:r w:rsidR="00AD4827" w:rsidRPr="00D40221">
        <w:rPr>
          <w:rFonts w:asciiTheme="minorHAnsi" w:eastAsia="Times New Roman" w:hAnsiTheme="minorHAnsi" w:cs="Tahoma"/>
        </w:rPr>
        <w:t>relationships</w:t>
      </w:r>
      <w:r w:rsidRPr="00D40221">
        <w:rPr>
          <w:rFonts w:asciiTheme="minorHAnsi" w:eastAsia="Times New Roman" w:hAnsiTheme="minorHAnsi" w:cs="Tahoma"/>
        </w:rPr>
        <w:t xml:space="preserve"> </w:t>
      </w:r>
      <w:r w:rsidR="006746B6" w:rsidRPr="00D40221">
        <w:rPr>
          <w:rFonts w:asciiTheme="minorHAnsi" w:eastAsia="Times New Roman" w:hAnsiTheme="minorHAnsi" w:cs="Tahoma"/>
        </w:rPr>
        <w:t>in technology-mediated or</w:t>
      </w:r>
      <w:r w:rsidRPr="00D40221">
        <w:rPr>
          <w:rFonts w:asciiTheme="minorHAnsi" w:eastAsia="Times New Roman" w:hAnsiTheme="minorHAnsi" w:cs="Tahoma"/>
        </w:rPr>
        <w:t xml:space="preserve"> non-traditional service supply chain</w:t>
      </w:r>
      <w:r w:rsidR="006746B6" w:rsidRPr="00D40221">
        <w:rPr>
          <w:rFonts w:asciiTheme="minorHAnsi" w:eastAsia="Times New Roman" w:hAnsiTheme="minorHAnsi" w:cs="Tahoma"/>
        </w:rPr>
        <w:t>s</w:t>
      </w:r>
    </w:p>
    <w:p w:rsidR="00CC2EDB" w:rsidRPr="00D40221" w:rsidRDefault="00AD4827" w:rsidP="00CC2EDB">
      <w:pPr>
        <w:jc w:val="both"/>
        <w:rPr>
          <w:rFonts w:asciiTheme="minorHAnsi" w:eastAsia="Times New Roman" w:hAnsiTheme="minorHAnsi" w:cs="Tahoma"/>
          <w:i/>
        </w:rPr>
      </w:pPr>
      <w:r w:rsidRPr="00D40221">
        <w:rPr>
          <w:rFonts w:asciiTheme="minorHAnsi" w:eastAsia="Times New Roman" w:hAnsiTheme="minorHAnsi" w:cs="Tahoma"/>
          <w:i/>
        </w:rPr>
        <w:t xml:space="preserve">Applications of Innovations in </w:t>
      </w:r>
      <w:r w:rsidR="00CC2EDB" w:rsidRPr="00D40221">
        <w:rPr>
          <w:rFonts w:asciiTheme="minorHAnsi" w:eastAsia="Times New Roman" w:hAnsiTheme="minorHAnsi" w:cs="Tahoma"/>
          <w:i/>
        </w:rPr>
        <w:t xml:space="preserve">Service </w:t>
      </w:r>
      <w:r w:rsidRPr="00D40221">
        <w:rPr>
          <w:rFonts w:asciiTheme="minorHAnsi" w:eastAsia="Times New Roman" w:hAnsiTheme="minorHAnsi" w:cs="Tahoma"/>
          <w:i/>
        </w:rPr>
        <w:t xml:space="preserve">Supply Chain Design </w:t>
      </w:r>
      <w:r w:rsidR="00D74611" w:rsidRPr="00D40221">
        <w:rPr>
          <w:rFonts w:asciiTheme="minorHAnsi" w:eastAsia="Times New Roman" w:hAnsiTheme="minorHAnsi" w:cs="Tahoma"/>
          <w:i/>
        </w:rPr>
        <w:t>to</w:t>
      </w:r>
      <w:r w:rsidR="00312F4F" w:rsidRPr="00D40221">
        <w:rPr>
          <w:rFonts w:asciiTheme="minorHAnsi" w:eastAsia="Times New Roman" w:hAnsiTheme="minorHAnsi" w:cs="Tahoma"/>
          <w:i/>
        </w:rPr>
        <w:t>:</w:t>
      </w:r>
    </w:p>
    <w:p w:rsidR="00CC2EDB" w:rsidRPr="00D40221" w:rsidRDefault="00AD4827" w:rsidP="00CC2ED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Healthcare</w:t>
      </w:r>
    </w:p>
    <w:p w:rsidR="00CC2EDB" w:rsidRPr="00D40221" w:rsidRDefault="00CC2EDB" w:rsidP="00CC2ED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 xml:space="preserve">Education </w:t>
      </w:r>
    </w:p>
    <w:p w:rsidR="007645F0" w:rsidRPr="00D40221" w:rsidRDefault="007645F0" w:rsidP="00CC2ED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Banking and insurance</w:t>
      </w:r>
    </w:p>
    <w:p w:rsidR="007645F0" w:rsidRPr="00D40221" w:rsidRDefault="007645F0" w:rsidP="00CC2ED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Transport</w:t>
      </w:r>
    </w:p>
    <w:p w:rsidR="007645F0" w:rsidRPr="00D40221" w:rsidRDefault="007645F0" w:rsidP="00CC2ED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Internet services</w:t>
      </w:r>
    </w:p>
    <w:p w:rsidR="007645F0" w:rsidRPr="00D40221" w:rsidRDefault="007645F0" w:rsidP="00CC2ED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IT services</w:t>
      </w:r>
    </w:p>
    <w:p w:rsidR="008C1A94" w:rsidRPr="00D40221" w:rsidRDefault="008C1A94" w:rsidP="00CC2ED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eastAsia="Times New Roman" w:hAnsiTheme="minorHAnsi" w:cs="Tahoma"/>
        </w:rPr>
      </w:pPr>
      <w:r w:rsidRPr="00D40221">
        <w:rPr>
          <w:rFonts w:asciiTheme="minorHAnsi" w:eastAsia="Times New Roman" w:hAnsiTheme="minorHAnsi" w:cs="Tahoma"/>
        </w:rPr>
        <w:t>Not-for-profit</w:t>
      </w:r>
    </w:p>
    <w:p w:rsidR="00F95F60" w:rsidRPr="00D40221" w:rsidRDefault="00F95F60" w:rsidP="00F95F60">
      <w:pPr>
        <w:outlineLvl w:val="0"/>
        <w:rPr>
          <w:rFonts w:asciiTheme="minorHAnsi" w:hAnsiTheme="minorHAnsi" w:cs="Tahoma"/>
          <w:b/>
          <w:u w:val="single"/>
        </w:rPr>
      </w:pPr>
      <w:r w:rsidRPr="00D40221">
        <w:rPr>
          <w:rFonts w:asciiTheme="minorHAnsi" w:hAnsiTheme="minorHAnsi" w:cs="Tahoma"/>
          <w:b/>
          <w:u w:val="single"/>
        </w:rPr>
        <w:t>Information for Contributors:</w:t>
      </w:r>
    </w:p>
    <w:p w:rsidR="00F95F60" w:rsidRPr="00D40221" w:rsidRDefault="00F95F60" w:rsidP="00F95F60">
      <w:pPr>
        <w:rPr>
          <w:rFonts w:asciiTheme="minorHAnsi" w:hAnsiTheme="minorHAnsi" w:cs="Tahoma"/>
        </w:rPr>
      </w:pPr>
    </w:p>
    <w:p w:rsidR="00F95F60" w:rsidRPr="00D40221" w:rsidRDefault="00F95F60" w:rsidP="00F95F60">
      <w:pPr>
        <w:jc w:val="both"/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 xml:space="preserve">Individuals from academia, business and government are invited to submit refereed research papers, non-refereed research abstracts, and proposals for workshops, panels, and symposia. </w:t>
      </w:r>
      <w:r w:rsidRPr="00D40221">
        <w:rPr>
          <w:rFonts w:asciiTheme="minorHAnsi" w:hAnsiTheme="minorHAnsi" w:cs="Tahoma"/>
        </w:rPr>
        <w:lastRenderedPageBreak/>
        <w:t xml:space="preserve">All submissions should have a clear service innovation focus and are encouraged to be transdisciplinary in nature; that is, they should involve more than a single traditional discipline. </w:t>
      </w:r>
    </w:p>
    <w:p w:rsidR="00F95F60" w:rsidRPr="00D40221" w:rsidRDefault="00F95F60" w:rsidP="00F95F60">
      <w:pPr>
        <w:jc w:val="both"/>
        <w:rPr>
          <w:rFonts w:asciiTheme="minorHAnsi" w:hAnsiTheme="minorHAnsi" w:cs="Tahoma"/>
          <w:color w:val="FF0000"/>
        </w:rPr>
      </w:pPr>
    </w:p>
    <w:p w:rsidR="005F65EE" w:rsidRPr="00D40221" w:rsidRDefault="005F65EE" w:rsidP="00F95F60">
      <w:pPr>
        <w:jc w:val="both"/>
        <w:rPr>
          <w:rFonts w:asciiTheme="minorHAnsi" w:hAnsiTheme="minorHAnsi"/>
          <w:b/>
          <w:u w:val="single"/>
        </w:rPr>
      </w:pPr>
      <w:r w:rsidRPr="00D40221">
        <w:rPr>
          <w:rFonts w:asciiTheme="minorHAnsi" w:hAnsiTheme="minorHAnsi"/>
          <w:b/>
          <w:u w:val="single"/>
        </w:rPr>
        <w:t>Special Issue of the Journal of Service Science</w:t>
      </w:r>
      <w:r w:rsidR="003157A4" w:rsidRPr="00D40221">
        <w:rPr>
          <w:rFonts w:asciiTheme="minorHAnsi" w:hAnsiTheme="minorHAnsi"/>
          <w:b/>
          <w:u w:val="single"/>
        </w:rPr>
        <w:t>:</w:t>
      </w:r>
    </w:p>
    <w:p w:rsidR="005F65EE" w:rsidRPr="00D40221" w:rsidRDefault="005F65EE" w:rsidP="00F95F60">
      <w:pPr>
        <w:jc w:val="both"/>
        <w:rPr>
          <w:rFonts w:asciiTheme="minorHAnsi" w:hAnsiTheme="minorHAnsi"/>
        </w:rPr>
      </w:pPr>
    </w:p>
    <w:p w:rsidR="005F65EE" w:rsidRPr="00D40221" w:rsidRDefault="005F65EE" w:rsidP="00F95F60">
      <w:pPr>
        <w:jc w:val="both"/>
        <w:rPr>
          <w:rFonts w:asciiTheme="minorHAnsi" w:hAnsiTheme="minorHAnsi"/>
        </w:rPr>
      </w:pPr>
      <w:r w:rsidRPr="00D40221">
        <w:rPr>
          <w:rFonts w:asciiTheme="minorHAnsi" w:hAnsiTheme="minorHAnsi"/>
        </w:rPr>
        <w:t xml:space="preserve">Authors of selected full paper submissions that have been accepted for presentation at the conference will be invited to submit their papers for </w:t>
      </w:r>
      <w:r w:rsidR="00124D31" w:rsidRPr="00D40221">
        <w:rPr>
          <w:rFonts w:asciiTheme="minorHAnsi" w:hAnsiTheme="minorHAnsi"/>
        </w:rPr>
        <w:t>review for</w:t>
      </w:r>
      <w:r w:rsidRPr="00D40221">
        <w:rPr>
          <w:rFonts w:asciiTheme="minorHAnsi" w:hAnsiTheme="minorHAnsi"/>
        </w:rPr>
        <w:t xml:space="preserve"> a special issue of the Journal of Service Science that will </w:t>
      </w:r>
      <w:r w:rsidR="000A502E" w:rsidRPr="00D40221">
        <w:rPr>
          <w:rFonts w:asciiTheme="minorHAnsi" w:hAnsiTheme="minorHAnsi"/>
        </w:rPr>
        <w:t xml:space="preserve">be </w:t>
      </w:r>
      <w:r w:rsidRPr="00D40221">
        <w:rPr>
          <w:rFonts w:asciiTheme="minorHAnsi" w:hAnsiTheme="minorHAnsi"/>
        </w:rPr>
        <w:t xml:space="preserve">dedicated to the conference theme of </w:t>
      </w:r>
      <w:r w:rsidR="00124D31" w:rsidRPr="00D40221">
        <w:rPr>
          <w:rFonts w:asciiTheme="minorHAnsi" w:hAnsiTheme="minorHAnsi"/>
        </w:rPr>
        <w:t>Innovation in Service Supply Chain Design.  Mark Davis (Bentley University), Jos Lemmink (Maastricht University), and Joy Field (Boston College) are co-editors of the special issue.</w:t>
      </w:r>
    </w:p>
    <w:p w:rsidR="005F65EE" w:rsidRPr="00D40221" w:rsidRDefault="005F65EE" w:rsidP="00F95F60">
      <w:pPr>
        <w:jc w:val="both"/>
        <w:rPr>
          <w:rFonts w:asciiTheme="minorHAnsi" w:hAnsiTheme="minorHAnsi" w:cs="Tahoma"/>
          <w:color w:val="FF0000"/>
        </w:rPr>
      </w:pPr>
    </w:p>
    <w:p w:rsidR="00F95F60" w:rsidRPr="00D40221" w:rsidRDefault="00F95F60" w:rsidP="00F95F60">
      <w:pPr>
        <w:outlineLvl w:val="0"/>
        <w:rPr>
          <w:rFonts w:asciiTheme="minorHAnsi" w:hAnsiTheme="minorHAnsi" w:cs="Tahoma"/>
          <w:b/>
          <w:u w:val="single"/>
        </w:rPr>
      </w:pPr>
      <w:r w:rsidRPr="00D40221">
        <w:rPr>
          <w:rFonts w:asciiTheme="minorHAnsi" w:hAnsiTheme="minorHAnsi" w:cs="Tahoma"/>
          <w:b/>
          <w:u w:val="single"/>
        </w:rPr>
        <w:t>Submission Deadlines:</w:t>
      </w:r>
    </w:p>
    <w:p w:rsidR="00F95F60" w:rsidRPr="00D40221" w:rsidRDefault="00F95F60" w:rsidP="00F95F60">
      <w:pPr>
        <w:rPr>
          <w:rFonts w:asciiTheme="minorHAnsi" w:hAnsiTheme="minorHAnsi" w:cs="Tahoma"/>
        </w:rPr>
      </w:pPr>
    </w:p>
    <w:p w:rsidR="00F95F60" w:rsidRPr="00D40221" w:rsidRDefault="00F95F60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 xml:space="preserve">The submission deadline for refereed research papers is </w:t>
      </w:r>
      <w:r w:rsidRPr="00D40221">
        <w:rPr>
          <w:rFonts w:asciiTheme="minorHAnsi" w:hAnsiTheme="minorHAnsi" w:cs="Tahoma"/>
          <w:b/>
        </w:rPr>
        <w:t>February 15, 20</w:t>
      </w:r>
      <w:r w:rsidR="00312F4F" w:rsidRPr="00D40221">
        <w:rPr>
          <w:rFonts w:asciiTheme="minorHAnsi" w:hAnsiTheme="minorHAnsi" w:cs="Tahoma"/>
          <w:b/>
        </w:rPr>
        <w:t>1</w:t>
      </w:r>
      <w:r w:rsidR="003D0889" w:rsidRPr="00D40221">
        <w:rPr>
          <w:rFonts w:asciiTheme="minorHAnsi" w:hAnsiTheme="minorHAnsi" w:cs="Tahoma"/>
          <w:b/>
        </w:rPr>
        <w:t>2</w:t>
      </w:r>
      <w:r w:rsidRPr="00D40221">
        <w:rPr>
          <w:rFonts w:asciiTheme="minorHAnsi" w:hAnsiTheme="minorHAnsi" w:cs="Tahoma"/>
        </w:rPr>
        <w:t xml:space="preserve">. The submission deadline for non-refereed research abstracts and proposals is </w:t>
      </w:r>
      <w:r w:rsidRPr="00D40221">
        <w:rPr>
          <w:rFonts w:asciiTheme="minorHAnsi" w:hAnsiTheme="minorHAnsi" w:cs="Tahoma"/>
          <w:b/>
        </w:rPr>
        <w:t>March 15, 20</w:t>
      </w:r>
      <w:r w:rsidR="00312F4F" w:rsidRPr="00D40221">
        <w:rPr>
          <w:rFonts w:asciiTheme="minorHAnsi" w:hAnsiTheme="minorHAnsi" w:cs="Tahoma"/>
          <w:b/>
        </w:rPr>
        <w:t>1</w:t>
      </w:r>
      <w:r w:rsidR="003D0889" w:rsidRPr="00D40221">
        <w:rPr>
          <w:rFonts w:asciiTheme="minorHAnsi" w:hAnsiTheme="minorHAnsi" w:cs="Tahoma"/>
          <w:b/>
        </w:rPr>
        <w:t>2</w:t>
      </w:r>
      <w:r w:rsidRPr="00D40221">
        <w:rPr>
          <w:rFonts w:asciiTheme="minorHAnsi" w:hAnsiTheme="minorHAnsi" w:cs="Tahoma"/>
          <w:b/>
        </w:rPr>
        <w:t>.</w:t>
      </w:r>
    </w:p>
    <w:p w:rsidR="00F95F60" w:rsidRPr="00D40221" w:rsidRDefault="00F95F60" w:rsidP="00F95F60">
      <w:pPr>
        <w:rPr>
          <w:rFonts w:asciiTheme="minorHAnsi" w:hAnsiTheme="minorHAnsi" w:cs="Tahoma"/>
        </w:rPr>
      </w:pPr>
    </w:p>
    <w:p w:rsidR="00F95F60" w:rsidRPr="00D40221" w:rsidRDefault="00F95F60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For more information</w:t>
      </w:r>
      <w:r w:rsidR="00B67A2E" w:rsidRPr="00D40221">
        <w:rPr>
          <w:rFonts w:asciiTheme="minorHAnsi" w:hAnsiTheme="minorHAnsi" w:cs="Tahoma"/>
        </w:rPr>
        <w:t xml:space="preserve"> on the conference</w:t>
      </w:r>
      <w:r w:rsidRPr="00D40221">
        <w:rPr>
          <w:rFonts w:asciiTheme="minorHAnsi" w:hAnsiTheme="minorHAnsi" w:cs="Tahoma"/>
        </w:rPr>
        <w:t>, contact:</w:t>
      </w:r>
    </w:p>
    <w:p w:rsidR="00F95F60" w:rsidRPr="00D40221" w:rsidRDefault="00F95F60" w:rsidP="00F95F60">
      <w:pPr>
        <w:rPr>
          <w:rFonts w:asciiTheme="minorHAnsi" w:hAnsiTheme="minorHAnsi" w:cs="Tahoma"/>
        </w:rPr>
      </w:pPr>
    </w:p>
    <w:p w:rsidR="00F95F60" w:rsidRPr="00D40221" w:rsidRDefault="00F95F60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  <w:b/>
          <w:u w:val="single"/>
        </w:rPr>
        <w:t xml:space="preserve">General </w:t>
      </w:r>
      <w:r w:rsidR="00312F4F" w:rsidRPr="00D40221">
        <w:rPr>
          <w:rFonts w:asciiTheme="minorHAnsi" w:hAnsiTheme="minorHAnsi" w:cs="Tahoma"/>
          <w:b/>
          <w:u w:val="single"/>
        </w:rPr>
        <w:t>Co-</w:t>
      </w:r>
      <w:r w:rsidRPr="00D40221">
        <w:rPr>
          <w:rFonts w:asciiTheme="minorHAnsi" w:hAnsiTheme="minorHAnsi" w:cs="Tahoma"/>
          <w:b/>
          <w:u w:val="single"/>
        </w:rPr>
        <w:t>Chairs:</w:t>
      </w:r>
      <w:r w:rsidRPr="00D40221">
        <w:rPr>
          <w:rFonts w:asciiTheme="minorHAnsi" w:hAnsiTheme="minorHAnsi" w:cs="Tahoma"/>
        </w:rPr>
        <w:t xml:space="preserve"> </w:t>
      </w:r>
    </w:p>
    <w:p w:rsidR="00F95F60" w:rsidRPr="00D40221" w:rsidRDefault="00F95F60" w:rsidP="00F95F60">
      <w:pPr>
        <w:rPr>
          <w:rFonts w:asciiTheme="minorHAnsi" w:hAnsiTheme="minorHAnsi" w:cs="Tahoma"/>
          <w:b/>
        </w:rPr>
      </w:pPr>
    </w:p>
    <w:p w:rsidR="00F95F60" w:rsidRPr="00D40221" w:rsidRDefault="003D0889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Jos Lemmink</w:t>
      </w:r>
      <w:r w:rsidR="00F95F60" w:rsidRPr="00D40221">
        <w:rPr>
          <w:rFonts w:asciiTheme="minorHAnsi" w:hAnsiTheme="minorHAnsi" w:cs="Tahoma"/>
        </w:rPr>
        <w:tab/>
      </w:r>
    </w:p>
    <w:p w:rsidR="003D0889" w:rsidRPr="00D40221" w:rsidRDefault="003D0889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Maastricht University</w:t>
      </w:r>
      <w:r w:rsidR="00457071" w:rsidRPr="00D40221">
        <w:rPr>
          <w:rFonts w:asciiTheme="minorHAnsi" w:hAnsiTheme="minorHAnsi" w:cs="Tahoma"/>
        </w:rPr>
        <w:t xml:space="preserve"> School of Business and Economics</w:t>
      </w:r>
    </w:p>
    <w:p w:rsidR="00457071" w:rsidRPr="00D40221" w:rsidRDefault="00457071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PO Box 616, NL-6200MD Maastricht</w:t>
      </w:r>
    </w:p>
    <w:p w:rsidR="00457071" w:rsidRPr="00D40221" w:rsidRDefault="00457071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The Netherlands</w:t>
      </w:r>
    </w:p>
    <w:p w:rsidR="00F95F60" w:rsidRPr="00D40221" w:rsidRDefault="003D0889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Email: j.lemmink@maastrichtuniversity.nl</w:t>
      </w:r>
    </w:p>
    <w:p w:rsidR="003D0889" w:rsidRPr="00D40221" w:rsidRDefault="00124D31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TEL:</w:t>
      </w:r>
      <w:r w:rsidR="00457071" w:rsidRPr="00D40221">
        <w:rPr>
          <w:rFonts w:asciiTheme="minorHAnsi" w:hAnsiTheme="minorHAnsi" w:cs="Tahoma"/>
        </w:rPr>
        <w:t xml:space="preserve"> +31 433883783</w:t>
      </w:r>
    </w:p>
    <w:p w:rsidR="00124D31" w:rsidRPr="00D40221" w:rsidRDefault="00124D31" w:rsidP="00F95F60">
      <w:pPr>
        <w:rPr>
          <w:rFonts w:asciiTheme="minorHAnsi" w:hAnsiTheme="minorHAnsi" w:cs="Tahoma"/>
        </w:rPr>
      </w:pPr>
    </w:p>
    <w:p w:rsidR="00C77070" w:rsidRPr="00D40221" w:rsidRDefault="003D0889" w:rsidP="00C7707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Gaby Odekerken</w:t>
      </w:r>
    </w:p>
    <w:p w:rsidR="003D0889" w:rsidRPr="00D40221" w:rsidRDefault="003D0889" w:rsidP="00C7707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Maastricht University</w:t>
      </w:r>
      <w:r w:rsidR="00457071" w:rsidRPr="00D40221">
        <w:rPr>
          <w:rFonts w:asciiTheme="minorHAnsi" w:hAnsiTheme="minorHAnsi" w:cs="Tahoma"/>
        </w:rPr>
        <w:t xml:space="preserve"> School of Business and Economics</w:t>
      </w:r>
    </w:p>
    <w:p w:rsidR="00457071" w:rsidRPr="00D40221" w:rsidRDefault="00457071" w:rsidP="00C7707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PO Box 616, 6200MD Maastricht</w:t>
      </w:r>
    </w:p>
    <w:p w:rsidR="00457071" w:rsidRPr="00D40221" w:rsidRDefault="00457071" w:rsidP="00C7707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The Netherlands</w:t>
      </w:r>
    </w:p>
    <w:p w:rsidR="003D0889" w:rsidRPr="00D40221" w:rsidRDefault="003D0889" w:rsidP="00C7707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Email: g.odekerken@maastrichtuniversity.nl</w:t>
      </w:r>
    </w:p>
    <w:p w:rsidR="00C77070" w:rsidRPr="00D40221" w:rsidRDefault="00124D31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TEL:</w:t>
      </w:r>
      <w:r w:rsidR="00457071" w:rsidRPr="00D40221">
        <w:rPr>
          <w:rFonts w:asciiTheme="minorHAnsi" w:hAnsiTheme="minorHAnsi" w:cs="Tahoma"/>
        </w:rPr>
        <w:t xml:space="preserve"> +31 433883618</w:t>
      </w:r>
    </w:p>
    <w:p w:rsidR="00124D31" w:rsidRPr="00D40221" w:rsidRDefault="00124D31" w:rsidP="00F95F60">
      <w:pPr>
        <w:rPr>
          <w:rFonts w:asciiTheme="minorHAnsi" w:hAnsiTheme="minorHAnsi" w:cs="Tahoma"/>
        </w:rPr>
      </w:pPr>
    </w:p>
    <w:p w:rsidR="00F95F60" w:rsidRPr="00D40221" w:rsidRDefault="003D0889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Joy Field</w:t>
      </w:r>
      <w:r w:rsidR="00CC2EDB" w:rsidRPr="00D40221">
        <w:rPr>
          <w:rFonts w:asciiTheme="minorHAnsi" w:hAnsiTheme="minorHAnsi" w:cs="Tahoma"/>
        </w:rPr>
        <w:t xml:space="preserve"> </w:t>
      </w:r>
      <w:r w:rsidR="00F95F60" w:rsidRPr="00D40221">
        <w:rPr>
          <w:rFonts w:asciiTheme="minorHAnsi" w:hAnsiTheme="minorHAnsi" w:cs="Tahoma"/>
        </w:rPr>
        <w:br/>
      </w:r>
      <w:r w:rsidRPr="00D40221">
        <w:rPr>
          <w:rFonts w:asciiTheme="minorHAnsi" w:hAnsiTheme="minorHAnsi" w:cs="Tahoma"/>
        </w:rPr>
        <w:t>Boston College</w:t>
      </w:r>
    </w:p>
    <w:p w:rsidR="00F95F60" w:rsidRPr="00D40221" w:rsidRDefault="003D0889" w:rsidP="00F95F60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>Chestnut Hill, MA 02467 USA</w:t>
      </w:r>
      <w:bookmarkStart w:id="0" w:name="_GoBack"/>
      <w:bookmarkEnd w:id="0"/>
    </w:p>
    <w:p w:rsidR="003D0889" w:rsidRPr="00D40221" w:rsidRDefault="00A95A7C" w:rsidP="00312F4F">
      <w:pPr>
        <w:rPr>
          <w:rFonts w:asciiTheme="minorHAnsi" w:hAnsiTheme="minorHAnsi" w:cs="Tahoma"/>
        </w:rPr>
      </w:pPr>
      <w:r w:rsidRPr="00D40221">
        <w:rPr>
          <w:rFonts w:asciiTheme="minorHAnsi" w:hAnsiTheme="minorHAnsi" w:cs="Tahoma"/>
        </w:rPr>
        <w:t xml:space="preserve">Email: </w:t>
      </w:r>
      <w:r w:rsidR="003D0889" w:rsidRPr="00D40221">
        <w:rPr>
          <w:rFonts w:asciiTheme="minorHAnsi" w:hAnsiTheme="minorHAnsi" w:cs="Tahoma"/>
        </w:rPr>
        <w:t>fieldjo@bc.edu</w:t>
      </w:r>
    </w:p>
    <w:p w:rsidR="008C5CD6" w:rsidRPr="00D40221" w:rsidRDefault="00F95F60" w:rsidP="00312F4F">
      <w:pPr>
        <w:rPr>
          <w:rFonts w:asciiTheme="minorHAnsi" w:eastAsia="Times New Roman" w:hAnsiTheme="minorHAnsi" w:cs="Tahoma"/>
        </w:rPr>
      </w:pPr>
      <w:r w:rsidRPr="00D40221">
        <w:rPr>
          <w:rFonts w:asciiTheme="minorHAnsi" w:hAnsiTheme="minorHAnsi" w:cs="Tahoma"/>
        </w:rPr>
        <w:t xml:space="preserve">TEL: </w:t>
      </w:r>
      <w:r w:rsidR="00A95A7C" w:rsidRPr="00D40221">
        <w:rPr>
          <w:rFonts w:asciiTheme="minorHAnsi" w:hAnsiTheme="minorHAnsi" w:cs="Tahoma"/>
        </w:rPr>
        <w:t>1-</w:t>
      </w:r>
      <w:r w:rsidR="003D0889" w:rsidRPr="00D40221">
        <w:rPr>
          <w:rFonts w:asciiTheme="minorHAnsi" w:hAnsiTheme="minorHAnsi" w:cs="Tahoma"/>
        </w:rPr>
        <w:t>617-552-0442</w:t>
      </w:r>
      <w:r w:rsidRPr="00D40221">
        <w:rPr>
          <w:rFonts w:asciiTheme="minorHAnsi" w:hAnsiTheme="minorHAnsi" w:cs="Tahoma"/>
        </w:rPr>
        <w:br/>
      </w:r>
    </w:p>
    <w:sectPr w:rsidR="008C5CD6" w:rsidRPr="00D40221" w:rsidSect="000F5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69E"/>
    <w:multiLevelType w:val="multilevel"/>
    <w:tmpl w:val="852E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855AC"/>
    <w:multiLevelType w:val="multilevel"/>
    <w:tmpl w:val="C018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0F77B9"/>
    <w:multiLevelType w:val="multilevel"/>
    <w:tmpl w:val="8A4A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CD6"/>
    <w:rsid w:val="00007D6C"/>
    <w:rsid w:val="000371EA"/>
    <w:rsid w:val="000605D7"/>
    <w:rsid w:val="000A502E"/>
    <w:rsid w:val="000F5353"/>
    <w:rsid w:val="00124D31"/>
    <w:rsid w:val="00136B94"/>
    <w:rsid w:val="00156483"/>
    <w:rsid w:val="001A0064"/>
    <w:rsid w:val="001C7CB2"/>
    <w:rsid w:val="00206F89"/>
    <w:rsid w:val="00246869"/>
    <w:rsid w:val="002D00B1"/>
    <w:rsid w:val="002D401D"/>
    <w:rsid w:val="002E3789"/>
    <w:rsid w:val="002E63ED"/>
    <w:rsid w:val="00312F4F"/>
    <w:rsid w:val="003157A4"/>
    <w:rsid w:val="003D0889"/>
    <w:rsid w:val="003D514B"/>
    <w:rsid w:val="004222F3"/>
    <w:rsid w:val="00446D9B"/>
    <w:rsid w:val="00457071"/>
    <w:rsid w:val="00563CBF"/>
    <w:rsid w:val="005A2B5C"/>
    <w:rsid w:val="005F65EE"/>
    <w:rsid w:val="006370A5"/>
    <w:rsid w:val="006741B6"/>
    <w:rsid w:val="006746B6"/>
    <w:rsid w:val="006A3D01"/>
    <w:rsid w:val="006A53F9"/>
    <w:rsid w:val="006D2D50"/>
    <w:rsid w:val="006D51B8"/>
    <w:rsid w:val="0071321E"/>
    <w:rsid w:val="007366AC"/>
    <w:rsid w:val="007645F0"/>
    <w:rsid w:val="00790139"/>
    <w:rsid w:val="007C4ADB"/>
    <w:rsid w:val="00871C91"/>
    <w:rsid w:val="008C1A94"/>
    <w:rsid w:val="008C5CD6"/>
    <w:rsid w:val="0095280C"/>
    <w:rsid w:val="009751B3"/>
    <w:rsid w:val="00A95A7C"/>
    <w:rsid w:val="00AD4827"/>
    <w:rsid w:val="00B605A6"/>
    <w:rsid w:val="00B67A2E"/>
    <w:rsid w:val="00C25322"/>
    <w:rsid w:val="00C77070"/>
    <w:rsid w:val="00CC2EDB"/>
    <w:rsid w:val="00D104FA"/>
    <w:rsid w:val="00D40221"/>
    <w:rsid w:val="00D5254B"/>
    <w:rsid w:val="00D74611"/>
    <w:rsid w:val="00DD4E34"/>
    <w:rsid w:val="00DF1377"/>
    <w:rsid w:val="00E36220"/>
    <w:rsid w:val="00E73822"/>
    <w:rsid w:val="00E868F3"/>
    <w:rsid w:val="00E97882"/>
    <w:rsid w:val="00ED683B"/>
    <w:rsid w:val="00F5417D"/>
    <w:rsid w:val="00F95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C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4686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CD6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F95F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A7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468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68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4686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468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46869"/>
    <w:rPr>
      <w:rFonts w:ascii="Arial" w:eastAsia="Times New Roman" w:hAnsi="Arial" w:cs="Arial"/>
      <w:vanish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45F0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45F0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Bentley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MDAVIS</dc:creator>
  <cp:lastModifiedBy>fieldjo</cp:lastModifiedBy>
  <cp:revision>3</cp:revision>
  <dcterms:created xsi:type="dcterms:W3CDTF">2011-06-01T16:55:00Z</dcterms:created>
  <dcterms:modified xsi:type="dcterms:W3CDTF">2011-06-01T16:58:00Z</dcterms:modified>
</cp:coreProperties>
</file>